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1905" w:val="left"/>
        </w:tabs>
        <w:spacing w:after="0" w:line="360" w:lineRule="auto"/>
        <w:ind/>
        <w:rPr>
          <w:rFonts w:ascii="Times New Roman" w:hAnsi="Times New Roman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Российская Федерация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Ростовская область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Сальский район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Администрация Екатериновского сельского поселения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-226695</wp:posOffset>
                </wp:positionH>
                <wp:positionV relativeFrom="paragraph">
                  <wp:posOffset>28575</wp:posOffset>
                </wp:positionV>
                <wp:extent cx="6400800" cy="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non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ПОСТАНОВЛЕНИЕ</w:t>
      </w:r>
    </w:p>
    <w:p w14:paraId="09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31.01.2024</w:t>
      </w:r>
      <w:r>
        <w:rPr>
          <w:rFonts w:ascii="Times New Roman" w:hAnsi="Times New Roman"/>
          <w:b w:val="1"/>
          <w:sz w:val="24"/>
        </w:rPr>
        <w:t xml:space="preserve"> г.</w:t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 xml:space="preserve">                                                                              №  19</w:t>
      </w:r>
      <w:r>
        <w:rPr>
          <w:rFonts w:ascii="Times New Roman" w:hAnsi="Times New Roman"/>
          <w:b w:val="1"/>
          <w:sz w:val="24"/>
        </w:rPr>
        <w:t xml:space="preserve"> Екатериновка</w:t>
      </w:r>
    </w:p>
    <w:p w14:paraId="0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Об утверждении Программы профилактики </w:t>
      </w:r>
    </w:p>
    <w:p w14:paraId="0D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Рисков причинения вред</w:t>
      </w:r>
      <w:r>
        <w:rPr>
          <w:rFonts w:ascii="Times New Roman" w:hAnsi="Times New Roman"/>
          <w:b w:val="1"/>
          <w:sz w:val="24"/>
        </w:rPr>
        <w:t>а(</w:t>
      </w:r>
      <w:r>
        <w:rPr>
          <w:rFonts w:ascii="Times New Roman" w:hAnsi="Times New Roman"/>
          <w:b w:val="1"/>
          <w:sz w:val="24"/>
        </w:rPr>
        <w:t>ущерба)</w:t>
      </w:r>
    </w:p>
    <w:p w14:paraId="0E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Охраняемым законом ценностям на 2024 год</w:t>
      </w:r>
    </w:p>
    <w:p w14:paraId="0F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 рамках муниципального контроля в сфере</w:t>
      </w:r>
    </w:p>
    <w:p w14:paraId="10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Благоустройства на территории</w:t>
      </w:r>
    </w:p>
    <w:p w14:paraId="11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Екатериновского сельского поселения</w:t>
      </w:r>
    </w:p>
    <w:p w14:paraId="12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3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4000000">
      <w:pPr>
        <w:spacing w:after="0"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статьи 44 Федерального закона от31 июля 2020 года № 248-ФЗ «О государственном контроле (надзоре) и муниципальном контроле в Российской Федерации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 утвержденных постановлением Правительства Российской Федерации от20 июня 2021 года №990.</w:t>
      </w:r>
    </w:p>
    <w:p w14:paraId="15000000">
      <w:pPr>
        <w:spacing w:after="0" w:line="276" w:lineRule="auto"/>
        <w:ind w:firstLine="708" w:left="0"/>
        <w:jc w:val="both"/>
        <w:rPr>
          <w:rFonts w:ascii="Times New Roman" w:hAnsi="Times New Roman"/>
          <w:sz w:val="24"/>
        </w:rPr>
      </w:pPr>
    </w:p>
    <w:p w14:paraId="16000000">
      <w:pPr>
        <w:spacing w:after="0" w:line="36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постановляю:</w:t>
      </w:r>
    </w:p>
    <w:p w14:paraId="17000000">
      <w:pPr>
        <w:spacing w:after="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1Утвердить прилагаемую программу профилактики рисков причинения вреда (ущерба) охраняемым законом ценностям на 2024 год в рамках муниципального контроля в сфере благоустройства на территории Екатериновского сельского поселения.</w:t>
      </w:r>
    </w:p>
    <w:p w14:paraId="18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Настоящее постановление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ступает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силу на следующий день с момента его опубликования.</w:t>
      </w:r>
    </w:p>
    <w:p w14:paraId="1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p w14:paraId="1A000000">
      <w:pPr>
        <w:spacing w:after="0" w:line="360" w:lineRule="auto"/>
        <w:ind w:firstLine="0" w:left="360"/>
        <w:jc w:val="both"/>
        <w:rPr>
          <w:rFonts w:ascii="Times New Roman" w:hAnsi="Times New Roman"/>
          <w:sz w:val="24"/>
        </w:rPr>
      </w:pPr>
    </w:p>
    <w:p w14:paraId="1B00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</w:t>
      </w:r>
    </w:p>
    <w:p w14:paraId="1C00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Екатериновского сельского поселения                                           Абрамова Н.Л.</w:t>
      </w:r>
    </w:p>
    <w:p w14:paraId="1D000000">
      <w:pPr>
        <w:spacing w:after="0" w:line="360" w:lineRule="auto"/>
        <w:ind/>
        <w:rPr>
          <w:rFonts w:ascii="Times New Roman" w:hAnsi="Times New Roman"/>
          <w:sz w:val="24"/>
        </w:rPr>
      </w:pPr>
    </w:p>
    <w:p w14:paraId="1E000000">
      <w:pPr>
        <w:spacing w:after="0" w:line="360" w:lineRule="auto"/>
        <w:ind/>
        <w:rPr>
          <w:rFonts w:ascii="Times New Roman" w:hAnsi="Times New Roman"/>
          <w:sz w:val="24"/>
        </w:rPr>
      </w:pPr>
    </w:p>
    <w:p w14:paraId="1F000000">
      <w:pPr>
        <w:spacing w:after="0" w:line="360" w:lineRule="auto"/>
        <w:ind/>
        <w:rPr>
          <w:rFonts w:ascii="Times New Roman" w:hAnsi="Times New Roman"/>
          <w:sz w:val="24"/>
        </w:rPr>
      </w:pPr>
    </w:p>
    <w:p w14:paraId="20000000">
      <w:pPr>
        <w:spacing w:after="0" w:line="360" w:lineRule="auto"/>
        <w:ind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Горобец В.С.</w:t>
      </w:r>
    </w:p>
    <w:p w14:paraId="21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6"/>
        </w:rPr>
        <w:t>Тел: 4-47-02</w:t>
      </w:r>
    </w:p>
    <w:p w14:paraId="2200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23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4000000">
      <w:pPr>
        <w:ind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Приложение</w:t>
      </w:r>
    </w:p>
    <w:p w14:paraId="25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6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профилактических мероприятий, сроки (периодичность) их проведения.</w:t>
      </w:r>
    </w:p>
    <w:tbl>
      <w:tblPr>
        <w:tblStyle w:val="Style_1"/>
        <w:tblLayout w:type="fixed"/>
      </w:tblPr>
      <w:tblGrid>
        <w:gridCol w:w="846"/>
        <w:gridCol w:w="3826"/>
        <w:gridCol w:w="2336"/>
        <w:gridCol w:w="2337"/>
      </w:tblGrid>
      <w:tr>
        <w:tc>
          <w:tcPr>
            <w:tcW w:type="dxa" w:w="846"/>
          </w:tcPr>
          <w:p w14:paraId="2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type="dxa" w:w="3826"/>
          </w:tcPr>
          <w:p w14:paraId="2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мероприятия </w:t>
            </w:r>
          </w:p>
        </w:tc>
        <w:tc>
          <w:tcPr>
            <w:tcW w:type="dxa" w:w="2336"/>
          </w:tcPr>
          <w:p w14:paraId="2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(периодичность) проведения мероприятия.</w:t>
            </w:r>
          </w:p>
        </w:tc>
        <w:tc>
          <w:tcPr>
            <w:tcW w:type="dxa" w:w="2337"/>
          </w:tcPr>
          <w:p w14:paraId="2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исполнитель.</w:t>
            </w:r>
          </w:p>
        </w:tc>
      </w:tr>
      <w:tr>
        <w:tc>
          <w:tcPr>
            <w:tcW w:type="dxa" w:w="9345"/>
            <w:gridSpan w:val="4"/>
          </w:tcPr>
          <w:p w14:paraId="2C000000">
            <w:pPr>
              <w:ind w:firstLine="0" w:left="3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1.Информирование</w:t>
            </w:r>
          </w:p>
        </w:tc>
      </w:tr>
      <w:tr>
        <w:tc>
          <w:tcPr>
            <w:tcW w:type="dxa" w:w="846"/>
          </w:tcPr>
          <w:p w14:paraId="2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3826"/>
          </w:tcPr>
          <w:p w14:paraId="2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Актуализация и размещение на официальном сайте Екатериновского сельского поселения Сальского района Ростовской области в информационно- телекоммуникационной сети «Интернет» (далее официальный сайт поселения):</w:t>
            </w:r>
          </w:p>
          <w:p w14:paraId="2F000000">
            <w:pPr>
              <w:rPr>
                <w:rFonts w:ascii="Times New Roman" w:hAnsi="Times New Roman"/>
                <w:sz w:val="28"/>
              </w:rPr>
            </w:pPr>
          </w:p>
          <w:p w14:paraId="3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перечня нормативных правовых </w:t>
            </w:r>
            <w:r>
              <w:rPr>
                <w:rFonts w:ascii="Times New Roman" w:hAnsi="Times New Roman"/>
                <w:sz w:val="28"/>
              </w:rPr>
              <w:t>актов, содержащих</w:t>
            </w:r>
            <w:r>
              <w:rPr>
                <w:rFonts w:ascii="Times New Roman" w:hAnsi="Times New Roman"/>
                <w:sz w:val="28"/>
              </w:rPr>
              <w:t xml:space="preserve"> обязательные </w:t>
            </w:r>
            <w:r>
              <w:rPr>
                <w:rFonts w:ascii="Times New Roman" w:hAnsi="Times New Roman"/>
                <w:sz w:val="28"/>
              </w:rPr>
              <w:t>требования, оценка</w:t>
            </w:r>
            <w:r>
              <w:rPr>
                <w:rFonts w:ascii="Times New Roman" w:hAnsi="Times New Roman"/>
                <w:sz w:val="28"/>
              </w:rPr>
              <w:t xml:space="preserve"> соблюдения которых осуществляется в рамках муниципального контроля</w:t>
            </w:r>
          </w:p>
          <w:p w14:paraId="31000000">
            <w:pPr>
              <w:rPr>
                <w:rFonts w:ascii="Times New Roman" w:hAnsi="Times New Roman"/>
                <w:sz w:val="28"/>
              </w:rPr>
            </w:pPr>
          </w:p>
          <w:p w14:paraId="3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</w:t>
            </w:r>
            <w:r>
              <w:rPr>
                <w:rFonts w:ascii="Times New Roman" w:hAnsi="Times New Roman"/>
                <w:sz w:val="28"/>
              </w:rPr>
              <w:t>материалов, информационных писем, руководств по соблюдению обязательных требований</w:t>
            </w:r>
          </w:p>
          <w:p w14:paraId="33000000">
            <w:pPr>
              <w:rPr>
                <w:rFonts w:ascii="Times New Roman" w:hAnsi="Times New Roman"/>
                <w:sz w:val="28"/>
              </w:rPr>
            </w:pPr>
          </w:p>
          <w:p w14:paraId="3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перечня индикаторов риска нарушения обязательных требований</w:t>
            </w:r>
          </w:p>
          <w:p w14:paraId="35000000">
            <w:pPr>
              <w:rPr>
                <w:rFonts w:ascii="Times New Roman" w:hAnsi="Times New Roman"/>
                <w:sz w:val="28"/>
              </w:rPr>
            </w:pPr>
          </w:p>
          <w:p w14:paraId="3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Г) программы профилактики рисков причинения вреда (ущерба)охраняемым законом ценностям на 2024-2025 год.</w:t>
            </w:r>
          </w:p>
        </w:tc>
        <w:tc>
          <w:tcPr>
            <w:tcW w:type="dxa" w:w="2336"/>
          </w:tcPr>
          <w:p w14:paraId="37000000">
            <w:pPr>
              <w:rPr>
                <w:rFonts w:ascii="Times New Roman" w:hAnsi="Times New Roman"/>
                <w:sz w:val="28"/>
              </w:rPr>
            </w:pPr>
          </w:p>
          <w:p w14:paraId="38000000">
            <w:pPr>
              <w:rPr>
                <w:rFonts w:ascii="Times New Roman" w:hAnsi="Times New Roman"/>
                <w:sz w:val="28"/>
              </w:rPr>
            </w:pPr>
          </w:p>
          <w:p w14:paraId="39000000">
            <w:pPr>
              <w:rPr>
                <w:rFonts w:ascii="Times New Roman" w:hAnsi="Times New Roman"/>
                <w:sz w:val="28"/>
              </w:rPr>
            </w:pPr>
          </w:p>
          <w:p w14:paraId="3A000000">
            <w:pPr>
              <w:rPr>
                <w:rFonts w:ascii="Times New Roman" w:hAnsi="Times New Roman"/>
                <w:sz w:val="28"/>
              </w:rPr>
            </w:pPr>
          </w:p>
          <w:p w14:paraId="3B000000">
            <w:pPr>
              <w:rPr>
                <w:rFonts w:ascii="Times New Roman" w:hAnsi="Times New Roman"/>
                <w:sz w:val="28"/>
              </w:rPr>
            </w:pPr>
          </w:p>
          <w:p w14:paraId="3C000000">
            <w:pPr>
              <w:rPr>
                <w:rFonts w:ascii="Times New Roman" w:hAnsi="Times New Roman"/>
                <w:sz w:val="28"/>
              </w:rPr>
            </w:pPr>
          </w:p>
          <w:p w14:paraId="3D000000">
            <w:pPr>
              <w:rPr>
                <w:rFonts w:ascii="Times New Roman" w:hAnsi="Times New Roman"/>
                <w:sz w:val="28"/>
              </w:rPr>
            </w:pPr>
          </w:p>
          <w:p w14:paraId="3E000000">
            <w:pPr>
              <w:rPr>
                <w:rFonts w:ascii="Times New Roman" w:hAnsi="Times New Roman"/>
                <w:sz w:val="28"/>
              </w:rPr>
            </w:pPr>
          </w:p>
          <w:p w14:paraId="3F000000">
            <w:pPr>
              <w:rPr>
                <w:rFonts w:ascii="Times New Roman" w:hAnsi="Times New Roman"/>
                <w:sz w:val="28"/>
              </w:rPr>
            </w:pPr>
          </w:p>
          <w:p w14:paraId="40000000">
            <w:pPr>
              <w:rPr>
                <w:rFonts w:ascii="Times New Roman" w:hAnsi="Times New Roman"/>
                <w:sz w:val="28"/>
              </w:rPr>
            </w:pPr>
          </w:p>
          <w:p w14:paraId="41000000">
            <w:pPr>
              <w:rPr>
                <w:rFonts w:ascii="Times New Roman" w:hAnsi="Times New Roman"/>
                <w:sz w:val="28"/>
              </w:rPr>
            </w:pPr>
          </w:p>
          <w:p w14:paraId="4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Систематически по мере необходимости</w:t>
            </w:r>
          </w:p>
          <w:p w14:paraId="43000000">
            <w:pPr>
              <w:rPr>
                <w:rFonts w:ascii="Times New Roman" w:hAnsi="Times New Roman"/>
                <w:sz w:val="28"/>
              </w:rPr>
            </w:pPr>
          </w:p>
          <w:p w14:paraId="44000000">
            <w:pPr>
              <w:rPr>
                <w:rFonts w:ascii="Times New Roman" w:hAnsi="Times New Roman"/>
                <w:sz w:val="28"/>
              </w:rPr>
            </w:pPr>
          </w:p>
          <w:p w14:paraId="45000000">
            <w:pPr>
              <w:rPr>
                <w:rFonts w:ascii="Times New Roman" w:hAnsi="Times New Roman"/>
                <w:sz w:val="28"/>
              </w:rPr>
            </w:pPr>
          </w:p>
          <w:p w14:paraId="46000000">
            <w:pPr>
              <w:rPr>
                <w:rFonts w:ascii="Times New Roman" w:hAnsi="Times New Roman"/>
                <w:sz w:val="28"/>
              </w:rPr>
            </w:pPr>
          </w:p>
          <w:p w14:paraId="4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Систематически по мере необходимости   </w:t>
            </w:r>
          </w:p>
          <w:p w14:paraId="48000000">
            <w:pPr>
              <w:rPr>
                <w:rFonts w:ascii="Times New Roman" w:hAnsi="Times New Roman"/>
                <w:sz w:val="28"/>
              </w:rPr>
            </w:pPr>
          </w:p>
          <w:p w14:paraId="49000000">
            <w:pPr>
              <w:rPr>
                <w:rFonts w:ascii="Times New Roman" w:hAnsi="Times New Roman"/>
                <w:sz w:val="28"/>
              </w:rPr>
            </w:pPr>
          </w:p>
          <w:p w14:paraId="4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Систематически по мере необходимости.</w:t>
            </w:r>
          </w:p>
          <w:p w14:paraId="4B000000">
            <w:pPr>
              <w:rPr>
                <w:rFonts w:ascii="Times New Roman" w:hAnsi="Times New Roman"/>
                <w:sz w:val="28"/>
              </w:rPr>
            </w:pPr>
          </w:p>
          <w:p w14:paraId="4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позднее 25 декабря 2</w:t>
            </w:r>
          </w:p>
          <w:p w14:paraId="4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 года.</w:t>
            </w:r>
          </w:p>
          <w:p w14:paraId="4E000000">
            <w:pPr>
              <w:rPr>
                <w:rFonts w:ascii="Times New Roman" w:hAnsi="Times New Roman"/>
                <w:sz w:val="28"/>
              </w:rPr>
            </w:pPr>
          </w:p>
          <w:p w14:paraId="4F000000">
            <w:pPr>
              <w:rPr>
                <w:rFonts w:ascii="Times New Roman" w:hAnsi="Times New Roman"/>
                <w:sz w:val="28"/>
              </w:rPr>
            </w:pPr>
          </w:p>
          <w:p w14:paraId="5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2337"/>
          </w:tcPr>
          <w:p w14:paraId="5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Администрации Екатериновского сельского поселения.</w:t>
            </w:r>
          </w:p>
        </w:tc>
      </w:tr>
      <w:tr>
        <w:tc>
          <w:tcPr>
            <w:tcW w:type="dxa" w:w="9345"/>
            <w:gridSpan w:val="4"/>
          </w:tcPr>
          <w:p w14:paraId="5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2.Консультирование.</w:t>
            </w:r>
          </w:p>
        </w:tc>
      </w:tr>
      <w:tr>
        <w:tc>
          <w:tcPr>
            <w:tcW w:type="dxa" w:w="846"/>
          </w:tcPr>
          <w:p w14:paraId="5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</w:t>
            </w:r>
          </w:p>
        </w:tc>
        <w:tc>
          <w:tcPr>
            <w:tcW w:type="dxa" w:w="3826"/>
          </w:tcPr>
          <w:p w14:paraId="5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Консультирование контролируемых лиц и их представителей по вопросам муниципального контроля в сфере благоустройства на территории Екатериновского сельского поселения, осуществляется в устной или письменной форме по телефону, посредствам видео-конференц связи, на личном приеме, в ходе проведения профилактического мероприятия или контрольного мероприятия. Консультирование контролируемых лиц и их представителей в устной форме может осуществляться так же на собраниях, конференциях, публичных слушаниях и схода граждан.</w:t>
            </w:r>
          </w:p>
        </w:tc>
        <w:tc>
          <w:tcPr>
            <w:tcW w:type="dxa" w:w="2336"/>
          </w:tcPr>
          <w:p w14:paraId="5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мере необходимости.</w:t>
            </w:r>
          </w:p>
        </w:tc>
        <w:tc>
          <w:tcPr>
            <w:tcW w:type="dxa" w:w="2337"/>
          </w:tcPr>
          <w:p w14:paraId="5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Администрации Екатериновского сельского поселения.</w:t>
            </w:r>
          </w:p>
        </w:tc>
      </w:tr>
      <w:tr>
        <w:tc>
          <w:tcPr>
            <w:tcW w:type="dxa" w:w="9345"/>
            <w:gridSpan w:val="4"/>
          </w:tcPr>
          <w:p w14:paraId="5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Объявление предостережения</w:t>
            </w:r>
          </w:p>
        </w:tc>
      </w:tr>
      <w:tr>
        <w:tc>
          <w:tcPr>
            <w:tcW w:type="dxa" w:w="846"/>
          </w:tcPr>
          <w:p w14:paraId="5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</w:t>
            </w:r>
          </w:p>
        </w:tc>
        <w:tc>
          <w:tcPr>
            <w:tcW w:type="dxa" w:w="3826"/>
          </w:tcPr>
          <w:p w14:paraId="5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деятельности.</w:t>
            </w:r>
          </w:p>
        </w:tc>
        <w:tc>
          <w:tcPr>
            <w:tcW w:type="dxa" w:w="2336"/>
          </w:tcPr>
          <w:p w14:paraId="5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 принятии решения должностными лицами, ответственными за осуществление муниципального контроля.</w:t>
            </w:r>
          </w:p>
        </w:tc>
        <w:tc>
          <w:tcPr>
            <w:tcW w:type="dxa" w:w="2337"/>
          </w:tcPr>
          <w:p w14:paraId="5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администрации Екатериновского сельского поселения.</w:t>
            </w:r>
          </w:p>
        </w:tc>
      </w:tr>
    </w:tbl>
    <w:p w14:paraId="5C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List Paragraph"/>
    <w:basedOn w:val="Style_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2_ch"/>
    <w:link w:val="Style_10"/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2024-02-02T06:43:34Z</dcterms:modified>
</cp:coreProperties>
</file>